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58B45" w14:textId="77777777" w:rsidR="00113088" w:rsidRDefault="00000000">
      <w:pPr>
        <w:pStyle w:val="Heading1"/>
      </w:pPr>
      <w:r>
        <w:t>PROFIL DU PAYS X</w:t>
      </w:r>
    </w:p>
    <w:p w14:paraId="1C3C91A3" w14:textId="77777777" w:rsidR="00113088" w:rsidRDefault="00000000">
      <w:pPr>
        <w:pStyle w:val="Heading2"/>
      </w:pPr>
      <w:r>
        <w:t>APERÇU GÉNÉRAL</w:t>
      </w:r>
    </w:p>
    <w:p w14:paraId="5AABDD33" w14:textId="77777777" w:rsidR="00113088" w:rsidRDefault="00000000">
      <w:pPr>
        <w:spacing w:line="276" w:lineRule="auto"/>
        <w:jc w:val="both"/>
      </w:pPr>
      <w:r>
        <w:t>Le pays X est un pays enclavé qui partage ses frontières avec les pays Y et Z. La capitale du pays X est MC, et la population du pays était de 5 000 000 d’habitants en 2015, lors du dernier recensement.</w:t>
      </w:r>
    </w:p>
    <w:p w14:paraId="0E51D635" w14:textId="77777777" w:rsidR="00113088" w:rsidRDefault="00000000">
      <w:pPr>
        <w:spacing w:line="276" w:lineRule="auto"/>
        <w:jc w:val="both"/>
      </w:pPr>
      <w:r>
        <w:t xml:space="preserve">Langues principales: Anglais (langue officielle), Xxaanna and Yyaanna (langues de travail) </w:t>
      </w:r>
    </w:p>
    <w:p w14:paraId="74935936" w14:textId="77777777" w:rsidR="00113088" w:rsidRDefault="00000000">
      <w:r>
        <w:t>Religions principales : Chrétianisme, Animisme</w:t>
      </w:r>
    </w:p>
    <w:p w14:paraId="53D26207" w14:textId="77777777" w:rsidR="00113088" w:rsidRDefault="00000000">
      <w:r>
        <w:t>Espérance de vie : 62 ans (hommes), 64 ans (femmes)</w:t>
      </w:r>
    </w:p>
    <w:p w14:paraId="490798A9" w14:textId="77777777" w:rsidR="00113088" w:rsidRDefault="00000000">
      <w:pPr>
        <w:sectPr w:rsidR="00113088">
          <w:headerReference w:type="default" r:id="rId8"/>
          <w:footerReference w:type="even" r:id="rId9"/>
          <w:footerReference w:type="default" r:id="rId10"/>
          <w:pgSz w:w="11906" w:h="16838"/>
          <w:pgMar w:top="1440" w:right="1440" w:bottom="1440" w:left="1440" w:header="708" w:footer="708" w:gutter="0"/>
          <w:pgNumType w:start="1"/>
          <w:cols w:space="720"/>
        </w:sectPr>
      </w:pPr>
      <w:r>
        <w:t>Monnaie : Dollar Xxaan</w:t>
      </w:r>
    </w:p>
    <w:p w14:paraId="4378575F" w14:textId="77777777" w:rsidR="00113088" w:rsidRDefault="00000000">
      <w:pPr>
        <w:pStyle w:val="Heading2"/>
      </w:pPr>
      <w:r>
        <w:t xml:space="preserve">Groupes ethniques (2015) </w:t>
      </w:r>
    </w:p>
    <w:p w14:paraId="7ABCB864"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70.5% Xxaan</w:t>
      </w:r>
    </w:p>
    <w:p w14:paraId="34FACF36"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7.0% Bbaan</w:t>
      </w:r>
    </w:p>
    <w:p w14:paraId="14EC2043"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21.2% Yyaan</w:t>
      </w:r>
    </w:p>
    <w:p w14:paraId="419E756B"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1.3% autre</w:t>
      </w:r>
    </w:p>
    <w:p w14:paraId="770B63DB" w14:textId="77777777" w:rsidR="00113088" w:rsidRDefault="00113088">
      <w:pPr>
        <w:pBdr>
          <w:top w:val="nil"/>
          <w:left w:val="nil"/>
          <w:bottom w:val="nil"/>
          <w:right w:val="nil"/>
          <w:between w:val="nil"/>
        </w:pBdr>
        <w:spacing w:line="276" w:lineRule="auto"/>
        <w:ind w:left="720"/>
        <w:rPr>
          <w:color w:val="000000"/>
        </w:rPr>
      </w:pPr>
    </w:p>
    <w:p w14:paraId="0B02CE89" w14:textId="77777777" w:rsidR="00113088" w:rsidRDefault="00000000">
      <w:pPr>
        <w:pStyle w:val="Heading2"/>
      </w:pPr>
      <w:r>
        <w:t>GOUVERNEMENT</w:t>
      </w:r>
    </w:p>
    <w:p w14:paraId="05BA088F"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Parlement unitaire</w:t>
      </w:r>
    </w:p>
    <w:p w14:paraId="4CE6FE8F"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Président: Brian C</w:t>
      </w:r>
    </w:p>
    <w:p w14:paraId="54C09F05"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Premier ministre: Jeremiah L</w:t>
      </w:r>
    </w:p>
    <w:p w14:paraId="7CA1724E" w14:textId="77777777" w:rsidR="00113088" w:rsidRDefault="00000000">
      <w:pPr>
        <w:numPr>
          <w:ilvl w:val="0"/>
          <w:numId w:val="1"/>
        </w:numPr>
        <w:pBdr>
          <w:top w:val="nil"/>
          <w:left w:val="nil"/>
          <w:bottom w:val="nil"/>
          <w:right w:val="nil"/>
          <w:between w:val="nil"/>
        </w:pBdr>
        <w:spacing w:after="0" w:line="276" w:lineRule="auto"/>
        <w:rPr>
          <w:color w:val="000000"/>
        </w:rPr>
      </w:pPr>
      <w:r>
        <w:rPr>
          <w:color w:val="000000"/>
        </w:rPr>
        <w:t>Législature: Parlement national</w:t>
      </w:r>
    </w:p>
    <w:p w14:paraId="58AB2554" w14:textId="77777777" w:rsidR="00113088" w:rsidRDefault="00000000">
      <w:pPr>
        <w:numPr>
          <w:ilvl w:val="0"/>
          <w:numId w:val="1"/>
        </w:numPr>
        <w:pBdr>
          <w:top w:val="nil"/>
          <w:left w:val="nil"/>
          <w:bottom w:val="nil"/>
          <w:right w:val="nil"/>
          <w:between w:val="nil"/>
        </w:pBdr>
        <w:spacing w:line="276" w:lineRule="auto"/>
        <w:rPr>
          <w:color w:val="000000"/>
        </w:rPr>
        <w:sectPr w:rsidR="00113088">
          <w:type w:val="continuous"/>
          <w:pgSz w:w="11906" w:h="16838"/>
          <w:pgMar w:top="1440" w:right="1440" w:bottom="1440" w:left="1440" w:header="708" w:footer="708" w:gutter="0"/>
          <w:cols w:num="2" w:space="720" w:equalWidth="0">
            <w:col w:w="4159" w:space="708"/>
            <w:col w:w="4159" w:space="0"/>
          </w:cols>
        </w:sectPr>
      </w:pPr>
      <w:r>
        <w:rPr>
          <w:color w:val="000000"/>
        </w:rPr>
        <w:t>Indépendance : du pays B le 29 février 1973</w:t>
      </w:r>
    </w:p>
    <w:p w14:paraId="38C3DF42" w14:textId="77777777" w:rsidR="00113088" w:rsidRDefault="00113088">
      <w:pPr>
        <w:jc w:val="center"/>
        <w:rPr>
          <w:b/>
          <w:sz w:val="28"/>
          <w:szCs w:val="28"/>
        </w:rPr>
      </w:pPr>
    </w:p>
    <w:p w14:paraId="4D58B55A" w14:textId="77777777" w:rsidR="00113088" w:rsidRDefault="00000000">
      <w:pPr>
        <w:pStyle w:val="Heading2"/>
      </w:pPr>
      <w:r>
        <w:t>DÉMOGRAPHIE</w:t>
      </w:r>
    </w:p>
    <w:p w14:paraId="5F321762" w14:textId="77777777" w:rsidR="00113088" w:rsidRDefault="00000000">
      <w:r>
        <w:t xml:space="preserve">Naissances vivantes par an : </w:t>
      </w:r>
      <w:r>
        <w:tab/>
        <w:t>107 000</w:t>
      </w:r>
    </w:p>
    <w:p w14:paraId="1FB7F4B4" w14:textId="77777777" w:rsidR="00113088" w:rsidRDefault="00000000">
      <w:r>
        <w:t xml:space="preserve">Décès par an : </w:t>
      </w:r>
      <w:r>
        <w:tab/>
      </w:r>
      <w:r>
        <w:tab/>
        <w:t>22 000</w:t>
      </w:r>
    </w:p>
    <w:p w14:paraId="6F3358A8" w14:textId="77777777" w:rsidR="00113088" w:rsidRDefault="00000000">
      <w:r>
        <w:t xml:space="preserve">Variation naturelle par an : </w:t>
      </w:r>
      <w:r>
        <w:tab/>
        <w:t>85 000</w:t>
      </w:r>
    </w:p>
    <w:p w14:paraId="1FDD18DF" w14:textId="77777777" w:rsidR="00113088" w:rsidRDefault="00000000">
      <w:r>
        <w:t xml:space="preserve">Taux de natalité simple (pour 1 000) : </w:t>
      </w:r>
      <w:r>
        <w:tab/>
        <w:t>39,4</w:t>
      </w:r>
    </w:p>
    <w:p w14:paraId="000FF5D0" w14:textId="77777777" w:rsidR="00113088" w:rsidRDefault="00000000">
      <w:r>
        <w:t xml:space="preserve">Taux de mortalité simple (pour 1 000) : </w:t>
      </w:r>
      <w:r>
        <w:tab/>
      </w:r>
      <w:r>
        <w:tab/>
        <w:t>8,7</w:t>
      </w:r>
    </w:p>
    <w:p w14:paraId="7F55D505" w14:textId="77777777" w:rsidR="00113088" w:rsidRDefault="00000000">
      <w:r>
        <w:t xml:space="preserve">Indice de fécondité total (ISF) : </w:t>
      </w:r>
      <w:r>
        <w:tab/>
        <w:t>5,51</w:t>
      </w:r>
    </w:p>
    <w:p w14:paraId="1ADA2452" w14:textId="77777777" w:rsidR="00113088" w:rsidRDefault="00000000">
      <w:r>
        <w:t xml:space="preserve">Taux de mortalité infantile (pour 1 000 naissances) : </w:t>
      </w:r>
      <w:r>
        <w:tab/>
        <w:t>42,8</w:t>
      </w:r>
    </w:p>
    <w:p w14:paraId="3DB01683" w14:textId="77777777" w:rsidR="00113088" w:rsidRDefault="00113088"/>
    <w:p w14:paraId="275C6653" w14:textId="77777777" w:rsidR="00113088" w:rsidRDefault="00113088"/>
    <w:p w14:paraId="1ECE439D" w14:textId="77777777" w:rsidR="00113088" w:rsidRDefault="00113088"/>
    <w:p w14:paraId="6A04A01F" w14:textId="77777777" w:rsidR="00113088" w:rsidRDefault="00113088"/>
    <w:p w14:paraId="4E7FA70B" w14:textId="77777777" w:rsidR="00113088" w:rsidRDefault="00000000">
      <w:pPr>
        <w:spacing w:line="276" w:lineRule="auto"/>
        <w:jc w:val="both"/>
        <w:rPr>
          <w:b/>
          <w:color w:val="405D78"/>
          <w:sz w:val="28"/>
          <w:szCs w:val="28"/>
        </w:rPr>
      </w:pPr>
      <w:r>
        <w:rPr>
          <w:b/>
          <w:color w:val="405D78"/>
          <w:sz w:val="28"/>
          <w:szCs w:val="28"/>
        </w:rPr>
        <w:lastRenderedPageBreak/>
        <w:t>BREF CONTEXTE HISTORIQUE</w:t>
      </w:r>
    </w:p>
    <w:p w14:paraId="12382C69" w14:textId="77777777" w:rsidR="00113088" w:rsidRDefault="00000000">
      <w:pPr>
        <w:spacing w:line="276" w:lineRule="auto"/>
        <w:jc w:val="both"/>
      </w:pPr>
      <w:r>
        <w:t>Le pays X couvre une superficie de 190 038 kilomètres carrés et compte 5 000 000 d'habitants. C'est un pays fertile, avec des plateaux et une chaîne de montagnes près de la frontière avec le pays Z. Le pays X a obtenu son indépendance du pays B en 1973.</w:t>
      </w:r>
    </w:p>
    <w:p w14:paraId="100C82B4" w14:textId="77777777" w:rsidR="00113088" w:rsidRDefault="00000000">
      <w:pPr>
        <w:spacing w:line="276" w:lineRule="auto"/>
        <w:jc w:val="both"/>
      </w:pPr>
      <w:r>
        <w:t>Après la décolonisation du pays à la fin des années 1900, plusieurs partis se sont disputés le pouvoir . Le nouveau gouvernement du pays X a été formé à partir d’un accord entre les dirigeants de trois principales zones provinciales, dont le Mouvement pour l’indépendance du Xxaanna (XIM).</w:t>
      </w:r>
    </w:p>
    <w:p w14:paraId="4AFEDC9A" w14:textId="77777777" w:rsidR="00113088" w:rsidRDefault="00000000">
      <w:pPr>
        <w:spacing w:line="276" w:lineRule="auto"/>
        <w:jc w:val="both"/>
      </w:pPr>
      <w:r>
        <w:t xml:space="preserve">De nombreux districts se sont sentis mal représentés par le gouvernement. Utilisant la force, des acteurs clés marginalisés provenant de divers districts ont formé une organisation qu’ils ont nommée Mouvement pour la liberté de Xxaan (XFM). Le XFM a renversé le gouvernement et dirigé le pays par une forte répression. </w:t>
      </w:r>
    </w:p>
    <w:p w14:paraId="2E61D60A" w14:textId="77777777" w:rsidR="00113088" w:rsidRDefault="00000000">
      <w:pPr>
        <w:spacing w:line="276" w:lineRule="auto"/>
        <w:jc w:val="both"/>
      </w:pPr>
      <w:r>
        <w:t>En réponse, le XIM a formé une faction armée pour combattre la junte militaire. Une guerre civile a éclaté entre le XIM et le groupe au pouvoir. Un traité a été signé par les deux parties en 1992, établissant un accord de partage du pouvoir.</w:t>
      </w:r>
    </w:p>
    <w:p w14:paraId="7A5D0C28" w14:textId="77777777" w:rsidR="00113088" w:rsidRDefault="00000000">
      <w:pPr>
        <w:pStyle w:val="Heading2"/>
      </w:pPr>
      <w:r>
        <w:t>GÉOGRAPHIE ET CLIMAT</w:t>
      </w:r>
    </w:p>
    <w:p w14:paraId="5EA84228" w14:textId="77777777" w:rsidR="00113088" w:rsidRDefault="00000000">
      <w:pPr>
        <w:spacing w:line="276" w:lineRule="auto"/>
        <w:jc w:val="both"/>
      </w:pPr>
      <w:r>
        <w:t>Le pays X est parsemé de collines et protégé à l'ouest par une chaîne de montagnes de faible altitude. Plusieurs rivières traversent le pays X et se jettent dans un grand fleuve abritant une grande variété de poissons. Plusieurs villages et un quart des exploitations agricoles se trouvent près de ce fleuve, dans la région sud.</w:t>
      </w:r>
    </w:p>
    <w:p w14:paraId="77FEDA76" w14:textId="77777777" w:rsidR="00113088" w:rsidRDefault="00000000">
      <w:pPr>
        <w:spacing w:line="276" w:lineRule="auto"/>
        <w:jc w:val="both"/>
      </w:pPr>
      <w:r>
        <w:t>En raison de sa situation géographique, la région du Pays X connaît un climat semi-tropical, avec une saison sèche et des conditions chaudes et humides le reste de l'année.</w:t>
      </w:r>
    </w:p>
    <w:p w14:paraId="070FCA38" w14:textId="77777777" w:rsidR="00113088" w:rsidRDefault="00000000">
      <w:pPr>
        <w:spacing w:line="276" w:lineRule="auto"/>
        <w:jc w:val="both"/>
      </w:pPr>
      <w:r>
        <w:t>Pendant la saison sèche, le Pays X interdit les incendies en raison des risques. Comme le pays ne dispose de brigades de pompiers que dans la capitale et les grandes villes régionales, les incendies non maîtrisés peuvent avoir des conséquences dévastatrices pour les habitations et les vies humaines.</w:t>
      </w:r>
    </w:p>
    <w:p w14:paraId="03CD88A9" w14:textId="77777777" w:rsidR="00113088" w:rsidRDefault="00000000">
      <w:pPr>
        <w:pStyle w:val="Heading2"/>
      </w:pPr>
      <w:r>
        <w:t>CULTURE</w:t>
      </w:r>
    </w:p>
    <w:p w14:paraId="7F00655A" w14:textId="77777777" w:rsidR="00113088" w:rsidRDefault="00000000">
      <w:pPr>
        <w:spacing w:line="276" w:lineRule="auto"/>
        <w:jc w:val="both"/>
      </w:pPr>
      <w:r>
        <w:t>Traditionnellement, les mariages sont arrangés par les parents et les membres adultes de la famille. Cependant, ces derniers temps, les couples peuvent choisir eux-mêmes leur partenaire à condition que les parents approuvent l’union. La cohabitation est fortement déconseillée, et les couples sont poussés à se marier rapidement, sous peine d'être rejetés par la communauté.</w:t>
      </w:r>
    </w:p>
    <w:p w14:paraId="4D3D231C" w14:textId="77777777" w:rsidR="00113088" w:rsidRDefault="00000000">
      <w:pPr>
        <w:spacing w:line="276" w:lineRule="auto"/>
        <w:jc w:val="both"/>
      </w:pPr>
      <w:r>
        <w:t>Dans le pays X, aucune loi n'interdit aux habitants de posséder ou de porter une arme. Aucun permis n'est requis.</w:t>
      </w:r>
    </w:p>
    <w:p w14:paraId="3D78B4ED" w14:textId="77777777" w:rsidR="00113088" w:rsidRDefault="00000000">
      <w:pPr>
        <w:spacing w:line="276" w:lineRule="auto"/>
        <w:jc w:val="both"/>
      </w:pPr>
      <w:r>
        <w:lastRenderedPageBreak/>
        <w:t>Les repas sont des moments importants pour les familles et les communautés, permettant de se rassembler et d'échanger des histoires. Chaque repas fait l’objet d’une grande préparation. Les occasions cérémonielles sont toujours accompagnées de grands festins où chaque famille apporte des plats à partager.</w:t>
      </w:r>
    </w:p>
    <w:p w14:paraId="5AC1B413" w14:textId="77777777" w:rsidR="00113088" w:rsidRDefault="00000000">
      <w:pPr>
        <w:spacing w:line="276" w:lineRule="auto"/>
        <w:jc w:val="both"/>
      </w:pPr>
      <w:r>
        <w:t>Le christianisme est la principale religion établie dans le pays X ; cependant, l’animisme traditionnel y est encore présent.</w:t>
      </w:r>
    </w:p>
    <w:p w14:paraId="54261DC9" w14:textId="77777777" w:rsidR="00113088" w:rsidRDefault="00000000">
      <w:pPr>
        <w:spacing w:line="276" w:lineRule="auto"/>
        <w:jc w:val="both"/>
      </w:pPr>
      <w:r>
        <w:t>Dans la culture Xxaana, il n’existe ni système de castes ou ni classes. Le pays est plutôt structuré autour de grands groupes tribaux ou familiaux. Certaines familles transmettent leurs terres par la lignée de la grand-mère (matrilinéaire) et d’autres par la lignée du grand-père (patrilinéaire).</w:t>
      </w:r>
    </w:p>
    <w:p w14:paraId="55517C8A" w14:textId="77777777" w:rsidR="00113088" w:rsidRDefault="00000000">
      <w:pPr>
        <w:pStyle w:val="Heading2"/>
      </w:pPr>
      <w:r>
        <w:t>POLITIQUE</w:t>
      </w:r>
    </w:p>
    <w:p w14:paraId="32238FC7" w14:textId="77777777" w:rsidR="00113088" w:rsidRDefault="00000000">
      <w:pPr>
        <w:pBdr>
          <w:top w:val="nil"/>
          <w:left w:val="nil"/>
          <w:bottom w:val="nil"/>
          <w:right w:val="nil"/>
          <w:between w:val="nil"/>
        </w:pBdr>
        <w:spacing w:before="280" w:after="280" w:line="276" w:lineRule="auto"/>
        <w:jc w:val="both"/>
        <w:rPr>
          <w:color w:val="000000"/>
          <w:sz w:val="22"/>
          <w:szCs w:val="22"/>
        </w:rPr>
      </w:pPr>
      <w:r>
        <w:rPr>
          <w:color w:val="000000"/>
          <w:sz w:val="22"/>
          <w:szCs w:val="22"/>
        </w:rPr>
        <w:t>Le pays X est une république dotée d'un système parlementaire. Le chef de l'État est un président élu au suffrage universel pour un mandat de cinq ans. Le pays possède un parlement monocaméral de 30 membres, élus pour des mandats de quatre ans. Cependant, le Parlement peut être dissous par un vote majoritaire de ses membres avant la fin de son mandat.</w:t>
      </w:r>
    </w:p>
    <w:p w14:paraId="194F9060" w14:textId="77777777" w:rsidR="00113088" w:rsidRDefault="00000000">
      <w:pPr>
        <w:pBdr>
          <w:top w:val="nil"/>
          <w:left w:val="nil"/>
          <w:bottom w:val="nil"/>
          <w:right w:val="nil"/>
          <w:between w:val="nil"/>
        </w:pBdr>
        <w:spacing w:before="280" w:after="280" w:line="276" w:lineRule="auto"/>
        <w:jc w:val="both"/>
        <w:rPr>
          <w:color w:val="000000"/>
          <w:sz w:val="22"/>
          <w:szCs w:val="22"/>
        </w:rPr>
      </w:pPr>
      <w:r>
        <w:rPr>
          <w:color w:val="000000"/>
          <w:sz w:val="22"/>
          <w:szCs w:val="22"/>
        </w:rPr>
        <w:t>La représentation parlementaire repose sur des circonscriptions uninominales. Le</w:t>
      </w:r>
      <w:r>
        <w:rPr>
          <w:sz w:val="22"/>
          <w:szCs w:val="22"/>
        </w:rPr>
        <w:t xml:space="preserve"> droit de vote </w:t>
      </w:r>
      <w:r>
        <w:rPr>
          <w:color w:val="000000"/>
          <w:sz w:val="22"/>
          <w:szCs w:val="22"/>
        </w:rPr>
        <w:t xml:space="preserve">est universel pour les citoyens de plus de 18 ans. Le chef du gouvernement est le Premier ministre, élu par le Parlement et qui </w:t>
      </w:r>
      <w:r>
        <w:rPr>
          <w:sz w:val="22"/>
          <w:szCs w:val="22"/>
        </w:rPr>
        <w:t xml:space="preserve">choisit les membres du </w:t>
      </w:r>
      <w:r>
        <w:rPr>
          <w:color w:val="000000"/>
          <w:sz w:val="22"/>
          <w:szCs w:val="22"/>
        </w:rPr>
        <w:t xml:space="preserve">cabinet. Chaque ministère est dirigé par un membre du cabinet, assisté d'un secrétaire permanent, un haut fonctionnaire chargé de la gestion </w:t>
      </w:r>
      <w:r>
        <w:rPr>
          <w:sz w:val="22"/>
          <w:szCs w:val="22"/>
        </w:rPr>
        <w:t>administrative</w:t>
      </w:r>
      <w:r>
        <w:rPr>
          <w:color w:val="000000"/>
          <w:sz w:val="22"/>
          <w:szCs w:val="22"/>
        </w:rPr>
        <w:t xml:space="preserve"> du ministère.</w:t>
      </w:r>
    </w:p>
    <w:p w14:paraId="1C626681" w14:textId="77777777" w:rsidR="00113088" w:rsidRDefault="00000000">
      <w:pPr>
        <w:pBdr>
          <w:top w:val="nil"/>
          <w:left w:val="nil"/>
          <w:bottom w:val="nil"/>
          <w:right w:val="nil"/>
          <w:between w:val="nil"/>
        </w:pBdr>
        <w:spacing w:before="280" w:after="280" w:line="276" w:lineRule="auto"/>
        <w:jc w:val="both"/>
        <w:rPr>
          <w:color w:val="000000"/>
          <w:sz w:val="22"/>
          <w:szCs w:val="22"/>
        </w:rPr>
      </w:pPr>
      <w:r>
        <w:rPr>
          <w:color w:val="000000"/>
          <w:sz w:val="22"/>
          <w:szCs w:val="22"/>
        </w:rPr>
        <w:t xml:space="preserve">Le pays X ne dispose pas de forces </w:t>
      </w:r>
      <w:r>
        <w:rPr>
          <w:sz w:val="22"/>
          <w:szCs w:val="22"/>
        </w:rPr>
        <w:t>armés</w:t>
      </w:r>
      <w:r>
        <w:rPr>
          <w:color w:val="000000"/>
          <w:sz w:val="22"/>
          <w:szCs w:val="22"/>
        </w:rPr>
        <w:t xml:space="preserve">, mais dispose d'une force de police de près de 50 000 </w:t>
      </w:r>
      <w:r>
        <w:rPr>
          <w:sz w:val="22"/>
          <w:szCs w:val="22"/>
        </w:rPr>
        <w:t>agents</w:t>
      </w:r>
      <w:r>
        <w:rPr>
          <w:color w:val="000000"/>
          <w:sz w:val="22"/>
          <w:szCs w:val="22"/>
        </w:rPr>
        <w:t xml:space="preserve">, </w:t>
      </w:r>
      <w:r>
        <w:rPr>
          <w:sz w:val="22"/>
          <w:szCs w:val="22"/>
        </w:rPr>
        <w:t xml:space="preserve">incluant </w:t>
      </w:r>
      <w:r>
        <w:rPr>
          <w:color w:val="000000"/>
          <w:sz w:val="22"/>
          <w:szCs w:val="22"/>
        </w:rPr>
        <w:t xml:space="preserve">une unité de protection des frontières et une force </w:t>
      </w:r>
      <w:r>
        <w:rPr>
          <w:sz w:val="22"/>
          <w:szCs w:val="22"/>
        </w:rPr>
        <w:t xml:space="preserve">de lutte contre les </w:t>
      </w:r>
      <w:r>
        <w:rPr>
          <w:color w:val="000000"/>
          <w:sz w:val="22"/>
          <w:szCs w:val="22"/>
        </w:rPr>
        <w:t>insurrection</w:t>
      </w:r>
      <w:r>
        <w:rPr>
          <w:sz w:val="22"/>
          <w:szCs w:val="22"/>
        </w:rPr>
        <w:t>s</w:t>
      </w:r>
      <w:r>
        <w:rPr>
          <w:color w:val="000000"/>
          <w:sz w:val="22"/>
          <w:szCs w:val="22"/>
        </w:rPr>
        <w:t xml:space="preserve">. La police est également responsable des </w:t>
      </w:r>
      <w:r>
        <w:rPr>
          <w:sz w:val="22"/>
          <w:szCs w:val="22"/>
        </w:rPr>
        <w:t>services d’incendie</w:t>
      </w:r>
      <w:r>
        <w:rPr>
          <w:color w:val="000000"/>
          <w:sz w:val="22"/>
          <w:szCs w:val="22"/>
        </w:rPr>
        <w:t>, de</w:t>
      </w:r>
      <w:r>
        <w:rPr>
          <w:sz w:val="22"/>
          <w:szCs w:val="22"/>
        </w:rPr>
        <w:t xml:space="preserve"> la gestion </w:t>
      </w:r>
      <w:r>
        <w:rPr>
          <w:color w:val="000000"/>
          <w:sz w:val="22"/>
          <w:szCs w:val="22"/>
        </w:rPr>
        <w:t>des catastrophes et de la surveillance maritime.</w:t>
      </w:r>
    </w:p>
    <w:p w14:paraId="06031C1D" w14:textId="77777777" w:rsidR="00113088" w:rsidRDefault="00000000">
      <w:pPr>
        <w:spacing w:line="276" w:lineRule="auto"/>
        <w:jc w:val="both"/>
        <w:rPr>
          <w:b/>
          <w:color w:val="405D78"/>
          <w:sz w:val="28"/>
          <w:szCs w:val="28"/>
        </w:rPr>
      </w:pPr>
      <w:r>
        <w:rPr>
          <w:b/>
          <w:color w:val="405D78"/>
          <w:sz w:val="28"/>
          <w:szCs w:val="28"/>
        </w:rPr>
        <w:t>ALPHABÉTISATION</w:t>
      </w:r>
    </w:p>
    <w:p w14:paraId="405A2F52" w14:textId="77777777" w:rsidR="00113088" w:rsidRDefault="00000000">
      <w:pPr>
        <w:pBdr>
          <w:top w:val="nil"/>
          <w:left w:val="nil"/>
          <w:bottom w:val="nil"/>
          <w:right w:val="nil"/>
          <w:between w:val="nil"/>
        </w:pBdr>
        <w:spacing w:after="280" w:line="240" w:lineRule="auto"/>
        <w:jc w:val="both"/>
        <w:rPr>
          <w:color w:val="000000"/>
          <w:sz w:val="22"/>
          <w:szCs w:val="22"/>
        </w:rPr>
      </w:pPr>
      <w:r>
        <w:rPr>
          <w:color w:val="000000"/>
          <w:sz w:val="22"/>
          <w:szCs w:val="22"/>
        </w:rPr>
        <w:t>Définition : personnes de 15 ans et plus sachant lire et écrire</w:t>
      </w:r>
    </w:p>
    <w:p w14:paraId="5ED62BC3" w14:textId="77777777" w:rsidR="00113088" w:rsidRDefault="00000000">
      <w:pPr>
        <w:pBdr>
          <w:top w:val="nil"/>
          <w:left w:val="nil"/>
          <w:bottom w:val="nil"/>
          <w:right w:val="nil"/>
          <w:between w:val="nil"/>
        </w:pBdr>
        <w:spacing w:after="280" w:line="240" w:lineRule="auto"/>
        <w:jc w:val="both"/>
        <w:rPr>
          <w:color w:val="000000"/>
          <w:sz w:val="22"/>
          <w:szCs w:val="22"/>
        </w:rPr>
      </w:pPr>
      <w:r>
        <w:rPr>
          <w:color w:val="000000"/>
          <w:sz w:val="22"/>
          <w:szCs w:val="22"/>
        </w:rPr>
        <w:t>Population totale : 57,5 % (estimation de 2015)</w:t>
      </w:r>
    </w:p>
    <w:p w14:paraId="5959C2E9" w14:textId="77777777" w:rsidR="00113088" w:rsidRDefault="00000000">
      <w:pPr>
        <w:pBdr>
          <w:top w:val="nil"/>
          <w:left w:val="nil"/>
          <w:bottom w:val="nil"/>
          <w:right w:val="nil"/>
          <w:between w:val="nil"/>
        </w:pBdr>
        <w:spacing w:after="280" w:line="240" w:lineRule="auto"/>
        <w:jc w:val="both"/>
        <w:rPr>
          <w:color w:val="000000"/>
          <w:sz w:val="22"/>
          <w:szCs w:val="22"/>
        </w:rPr>
      </w:pPr>
      <w:r>
        <w:rPr>
          <w:color w:val="000000"/>
          <w:sz w:val="22"/>
          <w:szCs w:val="22"/>
        </w:rPr>
        <w:t>Hommes : 61,5 %</w:t>
      </w:r>
    </w:p>
    <w:p w14:paraId="63975423" w14:textId="77777777" w:rsidR="00113088" w:rsidRDefault="00000000">
      <w:pPr>
        <w:pBdr>
          <w:top w:val="nil"/>
          <w:left w:val="nil"/>
          <w:bottom w:val="nil"/>
          <w:right w:val="nil"/>
          <w:between w:val="nil"/>
        </w:pBdr>
        <w:spacing w:after="280" w:line="240" w:lineRule="auto"/>
        <w:jc w:val="both"/>
        <w:rPr>
          <w:color w:val="000000"/>
          <w:sz w:val="22"/>
          <w:szCs w:val="22"/>
        </w:rPr>
      </w:pPr>
      <w:r>
        <w:rPr>
          <w:color w:val="000000"/>
          <w:sz w:val="22"/>
          <w:szCs w:val="22"/>
        </w:rPr>
        <w:t>Femmes: 53,4 %</w:t>
      </w:r>
    </w:p>
    <w:p w14:paraId="3F83A758" w14:textId="77777777" w:rsidR="00113088" w:rsidRDefault="00000000">
      <w:pPr>
        <w:pStyle w:val="Heading2"/>
      </w:pPr>
      <w:r>
        <w:t>RELIGION</w:t>
      </w:r>
    </w:p>
    <w:p w14:paraId="38B7B2A3" w14:textId="77777777" w:rsidR="00113088" w:rsidRDefault="00000000">
      <w:pPr>
        <w:spacing w:line="276" w:lineRule="auto"/>
      </w:pPr>
      <w:r>
        <w:t>Christianisme 70%, Animisme 22%, Protestant 7%</w:t>
      </w:r>
    </w:p>
    <w:p w14:paraId="7A4CDE9E" w14:textId="77777777" w:rsidR="00113088" w:rsidRDefault="00000000">
      <w:pPr>
        <w:spacing w:line="276" w:lineRule="auto"/>
        <w:jc w:val="both"/>
        <w:rPr>
          <w:b/>
          <w:color w:val="405D78"/>
          <w:sz w:val="28"/>
          <w:szCs w:val="28"/>
        </w:rPr>
      </w:pPr>
      <w:r>
        <w:rPr>
          <w:b/>
          <w:color w:val="405D78"/>
          <w:sz w:val="28"/>
          <w:szCs w:val="28"/>
        </w:rPr>
        <w:t>CIRCONSTANCES DE VIE</w:t>
      </w:r>
    </w:p>
    <w:p w14:paraId="72055792" w14:textId="77777777" w:rsidR="00113088" w:rsidRDefault="00000000">
      <w:r>
        <w:t>Proportion de la population vivant en zone rurale : 70,4 %</w:t>
      </w:r>
    </w:p>
    <w:p w14:paraId="51FD65C3" w14:textId="77777777" w:rsidR="00113088" w:rsidRDefault="00000000">
      <w:r>
        <w:lastRenderedPageBreak/>
        <w:t>Nombre moyen d’habitants par kilomètre carré (densité de population) : 26,31</w:t>
      </w:r>
    </w:p>
    <w:p w14:paraId="0135CF12" w14:textId="77777777" w:rsidR="00113088" w:rsidRDefault="00113088"/>
    <w:p w14:paraId="0855A83B" w14:textId="77777777" w:rsidR="00113088" w:rsidRDefault="00000000">
      <w:pPr>
        <w:pStyle w:val="Heading2"/>
      </w:pPr>
      <w:r>
        <w:t>MC (Capital)</w:t>
      </w:r>
    </w:p>
    <w:p w14:paraId="592385DF" w14:textId="77777777" w:rsidR="00113088" w:rsidRDefault="00000000">
      <w:r>
        <w:t>Population : 2,100,000 (Urbain), 400,000 (Plus grand MC)</w:t>
      </w:r>
    </w:p>
    <w:p w14:paraId="42D3A852" w14:textId="77777777" w:rsidR="00113088" w:rsidRDefault="00000000">
      <w:pPr>
        <w:pStyle w:val="Heading2"/>
      </w:pPr>
      <w:r>
        <w:t>RÉGIONS</w:t>
      </w:r>
    </w:p>
    <w:p w14:paraId="4CED2E06" w14:textId="77777777" w:rsidR="00113088" w:rsidRDefault="00000000">
      <w:pPr>
        <w:jc w:val="both"/>
      </w:pPr>
      <w:r>
        <w:t>Caroline du Sud (plus grande ville régionale)</w:t>
      </w:r>
    </w:p>
    <w:p w14:paraId="420B8D06" w14:textId="77777777" w:rsidR="00113088" w:rsidRDefault="00000000">
      <w:pPr>
        <w:jc w:val="both"/>
      </w:pPr>
      <w:r>
        <w:t>Population : 400 000 habitants (urbain) - 95 000 habitants (sous-district) - 110 484 habitants (district de Caroline du Sud)</w:t>
      </w:r>
    </w:p>
    <w:tbl>
      <w:tblPr>
        <w:tblStyle w:val="a"/>
        <w:tblW w:w="5740" w:type="dxa"/>
        <w:tblLayout w:type="fixed"/>
        <w:tblLook w:val="0400" w:firstRow="0" w:lastRow="0" w:firstColumn="0" w:lastColumn="0" w:noHBand="0" w:noVBand="1"/>
      </w:tblPr>
      <w:tblGrid>
        <w:gridCol w:w="2323"/>
        <w:gridCol w:w="3417"/>
      </w:tblGrid>
      <w:tr w:rsidR="00113088" w14:paraId="0B3D9FF3" w14:textId="77777777">
        <w:tc>
          <w:tcPr>
            <w:tcW w:w="2323" w:type="dxa"/>
            <w:tcBorders>
              <w:top w:val="single" w:sz="4" w:space="0" w:color="000000"/>
              <w:left w:val="single" w:sz="4" w:space="0" w:color="000000"/>
              <w:bottom w:val="single" w:sz="4" w:space="0" w:color="000000"/>
              <w:right w:val="single" w:sz="4" w:space="0" w:color="000000"/>
            </w:tcBorders>
            <w:shd w:val="clear" w:color="auto" w:fill="D4DEE8"/>
            <w:vAlign w:val="center"/>
          </w:tcPr>
          <w:p w14:paraId="502DE7C9" w14:textId="77777777" w:rsidR="00113088" w:rsidRDefault="00000000">
            <w:pPr>
              <w:jc w:val="center"/>
              <w:rPr>
                <w:b/>
              </w:rPr>
            </w:pPr>
            <w:r>
              <w:rPr>
                <w:b/>
              </w:rPr>
              <w:t>Régions</w:t>
            </w:r>
          </w:p>
        </w:tc>
        <w:tc>
          <w:tcPr>
            <w:tcW w:w="3417" w:type="dxa"/>
            <w:tcBorders>
              <w:top w:val="single" w:sz="4" w:space="0" w:color="000000"/>
              <w:left w:val="single" w:sz="4" w:space="0" w:color="000000"/>
              <w:bottom w:val="single" w:sz="4" w:space="0" w:color="000000"/>
              <w:right w:val="single" w:sz="4" w:space="0" w:color="000000"/>
            </w:tcBorders>
            <w:shd w:val="clear" w:color="auto" w:fill="D4DEE8"/>
            <w:vAlign w:val="center"/>
          </w:tcPr>
          <w:p w14:paraId="0C21E43D" w14:textId="77777777" w:rsidR="00113088" w:rsidRDefault="00000000">
            <w:pPr>
              <w:jc w:val="center"/>
              <w:rPr>
                <w:b/>
              </w:rPr>
            </w:pPr>
            <w:r>
              <w:rPr>
                <w:b/>
              </w:rPr>
              <w:t>Capitale Régionale</w:t>
            </w:r>
          </w:p>
        </w:tc>
      </w:tr>
      <w:tr w:rsidR="00113088" w14:paraId="55510E27" w14:textId="77777777">
        <w:tc>
          <w:tcPr>
            <w:tcW w:w="2323" w:type="dxa"/>
            <w:tcBorders>
              <w:top w:val="single" w:sz="4" w:space="0" w:color="000000"/>
              <w:left w:val="single" w:sz="4" w:space="0" w:color="000000"/>
              <w:bottom w:val="single" w:sz="4" w:space="0" w:color="000000"/>
              <w:right w:val="single" w:sz="4" w:space="0" w:color="000000"/>
            </w:tcBorders>
            <w:vAlign w:val="center"/>
          </w:tcPr>
          <w:p w14:paraId="562DF20F" w14:textId="77777777" w:rsidR="00113088" w:rsidRDefault="00000000">
            <w:pPr>
              <w:jc w:val="center"/>
            </w:pPr>
            <w:r>
              <w:t>Central Region</w:t>
            </w:r>
          </w:p>
        </w:tc>
        <w:tc>
          <w:tcPr>
            <w:tcW w:w="3417" w:type="dxa"/>
            <w:tcBorders>
              <w:top w:val="single" w:sz="4" w:space="0" w:color="000000"/>
              <w:left w:val="single" w:sz="4" w:space="0" w:color="000000"/>
              <w:bottom w:val="single" w:sz="4" w:space="0" w:color="000000"/>
              <w:right w:val="single" w:sz="4" w:space="0" w:color="000000"/>
            </w:tcBorders>
            <w:vAlign w:val="center"/>
          </w:tcPr>
          <w:p w14:paraId="3BAC1FE9" w14:textId="77777777" w:rsidR="00113088" w:rsidRDefault="00000000">
            <w:r>
              <w:t xml:space="preserve">MC </w:t>
            </w:r>
          </w:p>
        </w:tc>
      </w:tr>
      <w:tr w:rsidR="00113088" w14:paraId="6F572311" w14:textId="77777777">
        <w:tc>
          <w:tcPr>
            <w:tcW w:w="2323" w:type="dxa"/>
            <w:tcBorders>
              <w:top w:val="single" w:sz="4" w:space="0" w:color="000000"/>
              <w:left w:val="single" w:sz="4" w:space="0" w:color="000000"/>
              <w:bottom w:val="single" w:sz="4" w:space="0" w:color="000000"/>
              <w:right w:val="single" w:sz="4" w:space="0" w:color="000000"/>
            </w:tcBorders>
            <w:vAlign w:val="center"/>
          </w:tcPr>
          <w:p w14:paraId="2198C636" w14:textId="77777777" w:rsidR="00113088" w:rsidRDefault="00000000">
            <w:pPr>
              <w:jc w:val="center"/>
            </w:pPr>
            <w:r>
              <w:t>Northern Region</w:t>
            </w:r>
          </w:p>
        </w:tc>
        <w:tc>
          <w:tcPr>
            <w:tcW w:w="3417" w:type="dxa"/>
            <w:tcBorders>
              <w:top w:val="single" w:sz="4" w:space="0" w:color="000000"/>
              <w:left w:val="single" w:sz="4" w:space="0" w:color="000000"/>
              <w:bottom w:val="single" w:sz="4" w:space="0" w:color="000000"/>
              <w:right w:val="single" w:sz="4" w:space="0" w:color="000000"/>
            </w:tcBorders>
            <w:vAlign w:val="center"/>
          </w:tcPr>
          <w:p w14:paraId="7CF8C980" w14:textId="77777777" w:rsidR="00113088" w:rsidRDefault="00000000">
            <w:r>
              <w:t>SC</w:t>
            </w:r>
          </w:p>
        </w:tc>
      </w:tr>
      <w:tr w:rsidR="00113088" w14:paraId="42BD9AF0" w14:textId="77777777">
        <w:tc>
          <w:tcPr>
            <w:tcW w:w="2323" w:type="dxa"/>
            <w:tcBorders>
              <w:top w:val="single" w:sz="4" w:space="0" w:color="000000"/>
              <w:left w:val="single" w:sz="4" w:space="0" w:color="000000"/>
              <w:bottom w:val="single" w:sz="4" w:space="0" w:color="000000"/>
              <w:right w:val="single" w:sz="4" w:space="0" w:color="000000"/>
            </w:tcBorders>
            <w:vAlign w:val="center"/>
          </w:tcPr>
          <w:p w14:paraId="7CE92ED8" w14:textId="77777777" w:rsidR="00113088" w:rsidRDefault="00000000">
            <w:pPr>
              <w:jc w:val="center"/>
            </w:pPr>
            <w:r>
              <w:t>Western Region</w:t>
            </w:r>
          </w:p>
        </w:tc>
        <w:tc>
          <w:tcPr>
            <w:tcW w:w="3417" w:type="dxa"/>
            <w:tcBorders>
              <w:top w:val="single" w:sz="4" w:space="0" w:color="000000"/>
              <w:left w:val="single" w:sz="4" w:space="0" w:color="000000"/>
              <w:bottom w:val="single" w:sz="4" w:space="0" w:color="000000"/>
              <w:right w:val="single" w:sz="4" w:space="0" w:color="000000"/>
            </w:tcBorders>
            <w:vAlign w:val="center"/>
          </w:tcPr>
          <w:p w14:paraId="18B7156C" w14:textId="77777777" w:rsidR="00113088" w:rsidRDefault="00000000">
            <w:r>
              <w:t>TC</w:t>
            </w:r>
          </w:p>
        </w:tc>
      </w:tr>
    </w:tbl>
    <w:p w14:paraId="7EEDC6B2" w14:textId="77777777" w:rsidR="00113088" w:rsidRDefault="00113088">
      <w:pPr>
        <w:rPr>
          <w:b/>
          <w:sz w:val="28"/>
          <w:szCs w:val="28"/>
        </w:rPr>
      </w:pPr>
    </w:p>
    <w:p w14:paraId="02EC8EE2" w14:textId="77777777" w:rsidR="00113088" w:rsidRDefault="00000000">
      <w:pPr>
        <w:spacing w:line="276" w:lineRule="auto"/>
        <w:jc w:val="both"/>
        <w:rPr>
          <w:b/>
          <w:color w:val="405D78"/>
          <w:sz w:val="28"/>
          <w:szCs w:val="28"/>
        </w:rPr>
      </w:pPr>
      <w:r>
        <w:rPr>
          <w:b/>
          <w:color w:val="405D78"/>
          <w:sz w:val="28"/>
          <w:szCs w:val="28"/>
        </w:rPr>
        <w:t>APERÇU ÉCONOMIQUE</w:t>
      </w:r>
    </w:p>
    <w:p w14:paraId="48321D16" w14:textId="77777777" w:rsidR="00113088" w:rsidRDefault="00000000">
      <w:pPr>
        <w:spacing w:line="276" w:lineRule="auto"/>
        <w:jc w:val="both"/>
      </w:pPr>
      <w:r>
        <w:t>Les fondements de l’économie du pays X s’améliorent. La perception d’une grande transparence et responsabilité depuis le retour de ce pays à la démocratie après des troubles civils a renforcé la confiance des entreprises.</w:t>
      </w:r>
    </w:p>
    <w:p w14:paraId="4592BC8C" w14:textId="77777777" w:rsidR="00113088" w:rsidRDefault="00000000">
      <w:pPr>
        <w:spacing w:line="276" w:lineRule="auto"/>
        <w:jc w:val="both"/>
      </w:pPr>
      <w:r>
        <w:t>Des politiques budgétaires expansionnistes, notamment des programmes d’infrastructures et de dépenses sociales de taille moyenne à grande envergure, ainsi qu’une politique monétaire accommodante, ont soutenu plusieurs années de croissance économique depuis 2014. La Banque centrale de Xxaanna estime que le produit intérieur brut (PIB) continue de croître de 2 % par an. Cette croissance est diversifiée, principalement tirée par les secteurs des transports et de stockage,des services financiers et d’assurances, du tourisme et de la construction. La dette publique s'élève à 56 % du PIB, dont la majorité est détenue au niveau national, et le déficit budgétaire prévu pour 2016 était de 2,9 % du PIB.</w:t>
      </w:r>
    </w:p>
    <w:p w14:paraId="29581264" w14:textId="77777777" w:rsidR="00113088" w:rsidRDefault="00000000">
      <w:pPr>
        <w:spacing w:line="276" w:lineRule="auto"/>
        <w:jc w:val="both"/>
      </w:pPr>
      <w:r>
        <w:t xml:space="preserve">Les secteurs tertiaires, comme la finance et les transports, continuent de progresser, et, avec la construction, la manufacture et le commerce de détail, ils représentent les principaux moteurs de la croissance. </w:t>
      </w:r>
    </w:p>
    <w:p w14:paraId="32C63D67" w14:textId="77777777" w:rsidR="00113088" w:rsidRDefault="00000000">
      <w:pPr>
        <w:spacing w:line="276" w:lineRule="auto"/>
        <w:jc w:val="both"/>
      </w:pPr>
      <w:r>
        <w:t>L'agriculture demeure la principale source de devises étrangères pour le pays X. Le thé, le coton et le poisson restent les exportations les plus fortes. L'agriculture constitue également une source de revenus majeure pour la majorité de la population et continue de contribuer de manière significative à la croissance.</w:t>
      </w:r>
    </w:p>
    <w:p w14:paraId="7A2E5F4C" w14:textId="77777777" w:rsidR="00113088" w:rsidRDefault="00000000">
      <w:pPr>
        <w:spacing w:line="276" w:lineRule="auto"/>
        <w:jc w:val="both"/>
      </w:pPr>
      <w:r>
        <w:lastRenderedPageBreak/>
        <w:t xml:space="preserve">Le budget 2016 du pays X a été adopté en décembre 2015, poursuivant les principales orientations gouvernementales en matière de dépenses , notamment dans les domaines des  infrastructures, la santé, l'éducation et l'agriculture. Ce budget jette les bases d'un assainissement budgétaire modéré au cours des prochaines années. Les changements fiscaux visent à stimuler la consommation et à simplifier et élargir l'assiette fiscale, notamment par la réduction du taux et l’élargissement de la base de la TVA. </w:t>
      </w:r>
    </w:p>
    <w:p w14:paraId="600AE05E" w14:textId="77777777" w:rsidR="00113088" w:rsidRDefault="00000000">
      <w:pPr>
        <w:spacing w:line="276" w:lineRule="auto"/>
        <w:jc w:val="both"/>
      </w:pPr>
      <w:r>
        <w:t>Le développement économique s'est principalement concentré dans les régions du centre et du nord du pays, reliées par une autoroute bien entretenue entre la Caroline du Sud et la capitale nationale, Macao. Les régions de l'ouest et du sud (zones montagneuses) restent peu peuplées et économiquement sous-développées.</w:t>
      </w:r>
    </w:p>
    <w:p w14:paraId="1C4E566F" w14:textId="77777777" w:rsidR="00113088" w:rsidRDefault="00000000">
      <w:pPr>
        <w:jc w:val="both"/>
        <w:rPr>
          <w:b/>
        </w:rPr>
      </w:pPr>
      <w:r>
        <w:t>Les inondations et les glissements de terrain peuvent avoir un impact négatif important sur l'activité économique du pays. En mars 2019, un épisode majeur d'inondation  a causé d'importants dégâts dans la région Nord, laissant des milliers de personnes sans abri. En janvier 2021, un autre événement pluvieux significatif a gravement touché la capitale régionale, SC, et ses environs, suivi de glissements de terrain.</w:t>
      </w:r>
    </w:p>
    <w:p w14:paraId="0456A377" w14:textId="77777777" w:rsidR="00113088" w:rsidRDefault="00113088">
      <w:pPr>
        <w:jc w:val="both"/>
      </w:pPr>
    </w:p>
    <w:sectPr w:rsidR="00113088">
      <w:type w:val="continuous"/>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56CAA" w14:textId="77777777" w:rsidR="00286B0F" w:rsidRDefault="00286B0F">
      <w:pPr>
        <w:spacing w:after="0" w:line="240" w:lineRule="auto"/>
      </w:pPr>
      <w:r>
        <w:separator/>
      </w:r>
    </w:p>
  </w:endnote>
  <w:endnote w:type="continuationSeparator" w:id="0">
    <w:p w14:paraId="4C46D254" w14:textId="77777777" w:rsidR="00286B0F" w:rsidRDefault="00286B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45FE53C6-5316-AC48-9710-D51407C6CD86}"/>
  </w:font>
  <w:font w:name="Courier New">
    <w:panose1 w:val="02070309020205020404"/>
    <w:charset w:val="00"/>
    <w:family w:val="modern"/>
    <w:pitch w:val="fixed"/>
    <w:sig w:usb0="E0002AFF" w:usb1="C0007843" w:usb2="00000009" w:usb3="00000000" w:csb0="000001FF" w:csb1="00000000"/>
    <w:embedRegular r:id="rId2" w:fontKey="{2540EB96-471E-BD49-8625-75B1112AD4F8}"/>
  </w:font>
  <w:font w:name="Calibri">
    <w:panose1 w:val="020F0502020204030204"/>
    <w:charset w:val="00"/>
    <w:family w:val="swiss"/>
    <w:pitch w:val="variable"/>
    <w:sig w:usb0="E0002AFF" w:usb1="C000247B" w:usb2="00000009" w:usb3="00000000" w:csb0="000001FF" w:csb1="00000000"/>
    <w:embedRegular r:id="rId3" w:fontKey="{4895E034-6EC3-144C-9263-3CDAB6C86AC5}"/>
    <w:embedBold r:id="rId4" w:fontKey="{88919520-F931-5C4D-914E-0A0AF96EE94E}"/>
    <w:embedItalic r:id="rId5" w:fontKey="{6AD3813B-853B-A14E-B78A-5FE1507353D9}"/>
    <w:embedBoldItalic r:id="rId6" w:fontKey="{DBE56735-3845-7649-9064-B13022F5596D}"/>
  </w:font>
  <w:font w:name="Times New Roman">
    <w:panose1 w:val="02020603050405020304"/>
    <w:charset w:val="00"/>
    <w:family w:val="roman"/>
    <w:pitch w:val="variable"/>
    <w:sig w:usb0="E0002EFF" w:usb1="C000785B" w:usb2="00000009" w:usb3="00000000" w:csb0="000001FF" w:csb1="00000000"/>
    <w:embedRegular r:id="rId7" w:fontKey="{77BAD3C0-5853-CD4D-B104-CD8B58B816E8}"/>
    <w:embedBold r:id="rId8" w:fontKey="{680A5873-D239-4E4C-862F-02E2EA521177}"/>
    <w:embedItalic r:id="rId9" w:fontKey="{4D4305D8-3DCB-7145-BA68-7AAFBF95233E}"/>
    <w:embedBoldItalic r:id="rId10" w:fontKey="{2B9EDF1B-FDA2-744B-9693-F6E24E8FC6C4}"/>
  </w:font>
  <w:font w:name="Times New Roman (Headings CS)">
    <w:panose1 w:val="020B06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embedRegular r:id="rId14" w:fontKey="{F14642F3-EE60-2940-A182-5BDBB862D5C5}"/>
  </w:font>
  <w:font w:name="Lucida Grande">
    <w:panose1 w:val="020B0600040502020204"/>
    <w:charset w:val="00"/>
    <w:family w:val="swiss"/>
    <w:pitch w:val="variable"/>
    <w:sig w:usb0="E1000AEF" w:usb1="5000A1FF" w:usb2="00000000" w:usb3="00000000" w:csb0="000001BF" w:csb1="00000000"/>
  </w:font>
  <w:font w:name="Calibri Light">
    <w:panose1 w:val="020F0302020204030204"/>
    <w:charset w:val="00"/>
    <w:family w:val="swiss"/>
    <w:pitch w:val="variable"/>
    <w:sig w:usb0="E0002AFF" w:usb1="C000247B" w:usb2="00000009" w:usb3="00000000" w:csb0="000001FF" w:csb1="00000000"/>
    <w:embedRegular r:id="rId16" w:fontKey="{F438C783-D169-2B4E-91CD-92EE6C64E98F}"/>
    <w:embedBold r:id="rId17" w:fontKey="{C79BC984-27E9-7946-9FE4-16AD453D6746}"/>
    <w:embedItalic r:id="rId18" w:fontKey="{E9C8CCF2-90C0-CB47-8E8F-B35DCEF909CF}"/>
    <w:embedBoldItalic r:id="rId19" w:fontKey="{44723E87-9676-F64B-8A58-2903D56195BB}"/>
  </w:font>
  <w:font w:name="Helvetica Neue Light">
    <w:panose1 w:val="02000403000000020004"/>
    <w:charset w:val="00"/>
    <w:family w:val="auto"/>
    <w:pitch w:val="variable"/>
    <w:sig w:usb0="A00002FF" w:usb1="5000205B" w:usb2="00000002" w:usb3="00000000" w:csb0="00000007" w:csb1="00000000"/>
    <w:embedBold r:id="rId21" w:fontKey="{B749B33B-27D5-4E42-A9CB-224A1B3A5B2A}"/>
    <w:embedBoldItalic r:id="rId23" w:fontKey="{E5D5AC2A-AB28-1845-B6D3-F3AA007F7747}"/>
  </w:font>
  <w:font w:name="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E0487" w14:textId="77777777" w:rsidR="00113088"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2207614" w14:textId="77777777" w:rsidR="00113088" w:rsidRDefault="00113088">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30DC4" w14:textId="77777777" w:rsidR="00113088"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9A7206">
      <w:rPr>
        <w:noProof/>
        <w:color w:val="000000"/>
      </w:rPr>
      <w:t>1</w:t>
    </w:r>
    <w:r>
      <w:rPr>
        <w:color w:val="000000"/>
      </w:rPr>
      <w:fldChar w:fldCharType="end"/>
    </w:r>
  </w:p>
  <w:p w14:paraId="1A33D51F" w14:textId="77777777" w:rsidR="00113088" w:rsidRDefault="00113088">
    <w:pPr>
      <w:pBdr>
        <w:top w:val="nil"/>
        <w:left w:val="nil"/>
        <w:bottom w:val="nil"/>
        <w:right w:val="nil"/>
        <w:between w:val="nil"/>
      </w:pBdr>
      <w:tabs>
        <w:tab w:val="center" w:pos="4680"/>
        <w:tab w:val="right" w:pos="9360"/>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6FAC9" w14:textId="77777777" w:rsidR="00286B0F" w:rsidRDefault="00286B0F">
      <w:pPr>
        <w:spacing w:after="0" w:line="240" w:lineRule="auto"/>
      </w:pPr>
      <w:r>
        <w:separator/>
      </w:r>
    </w:p>
  </w:footnote>
  <w:footnote w:type="continuationSeparator" w:id="0">
    <w:p w14:paraId="32719A86" w14:textId="77777777" w:rsidR="00286B0F" w:rsidRDefault="00286B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94212" w14:textId="0F854084" w:rsidR="00113088" w:rsidRDefault="009A7206">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9264" behindDoc="1" locked="0" layoutInCell="1" allowOverlap="1" wp14:anchorId="52EA324C" wp14:editId="7C03CB62">
          <wp:simplePos x="0" y="0"/>
          <wp:positionH relativeFrom="column">
            <wp:posOffset>4447025</wp:posOffset>
          </wp:positionH>
          <wp:positionV relativeFrom="paragraph">
            <wp:posOffset>-439852</wp:posOffset>
          </wp:positionV>
          <wp:extent cx="2176903" cy="826851"/>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193307" cy="833082"/>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0B287599" w14:textId="77777777" w:rsidR="00113088"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Module 4.2 – Profil</w:t>
    </w:r>
    <w:r>
      <w:rPr>
        <w:sz w:val="20"/>
        <w:szCs w:val="20"/>
      </w:rPr>
      <w:t xml:space="preserve"> du pays 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9A610E"/>
    <w:multiLevelType w:val="multilevel"/>
    <w:tmpl w:val="6648314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BB44359"/>
    <w:multiLevelType w:val="multilevel"/>
    <w:tmpl w:val="FB9A0B2C"/>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54322058">
    <w:abstractNumId w:val="1"/>
  </w:num>
  <w:num w:numId="2" w16cid:durableId="17585545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3088"/>
    <w:rsid w:val="00113088"/>
    <w:rsid w:val="0025700D"/>
    <w:rsid w:val="00286B0F"/>
    <w:rsid w:val="005A0368"/>
    <w:rsid w:val="009A720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5DFEBF92"/>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806BFC"/>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806BFC"/>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806BFC"/>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paragraph" w:customStyle="1" w:styleId="Default">
    <w:name w:val="Default"/>
    <w:rsid w:val="00A604FF"/>
    <w:pPr>
      <w:autoSpaceDE w:val="0"/>
      <w:autoSpaceDN w:val="0"/>
      <w:adjustRightInd w:val="0"/>
      <w:spacing w:after="0" w:line="240" w:lineRule="auto"/>
    </w:pPr>
    <w:rPr>
      <w:rFonts w:ascii="Arial" w:hAnsi="Arial" w:cs="Arial"/>
      <w:color w:val="000000"/>
    </w:rPr>
  </w:style>
  <w:style w:type="character" w:styleId="Hyperlink">
    <w:name w:val="Hyperlink"/>
    <w:basedOn w:val="DefaultParagraphFont"/>
    <w:uiPriority w:val="99"/>
    <w:unhideWhenUsed/>
    <w:rsid w:val="00806BFC"/>
    <w:rPr>
      <w:color w:val="47C2FC" w:themeColor="accent5" w:themeTint="99"/>
      <w:u w:val="single"/>
    </w:rPr>
  </w:style>
  <w:style w:type="paragraph" w:styleId="ListParagraph">
    <w:name w:val="List Paragraph"/>
    <w:basedOn w:val="Normal"/>
    <w:uiPriority w:val="34"/>
    <w:qFormat/>
    <w:rsid w:val="00806BFC"/>
    <w:pPr>
      <w:ind w:left="720"/>
      <w:contextualSpacing/>
    </w:pPr>
  </w:style>
  <w:style w:type="paragraph" w:styleId="NormalWeb">
    <w:name w:val="Normal (Web)"/>
    <w:basedOn w:val="Normal"/>
    <w:uiPriority w:val="99"/>
    <w:unhideWhenUsed/>
    <w:rsid w:val="00047184"/>
    <w:pPr>
      <w:spacing w:before="100" w:beforeAutospacing="1" w:after="100" w:afterAutospacing="1" w:line="240" w:lineRule="auto"/>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1C002E"/>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C002E"/>
    <w:rPr>
      <w:rFonts w:ascii="Lucida Grande" w:hAnsi="Lucida Grande" w:cs="Lucida Grande"/>
      <w:sz w:val="18"/>
      <w:szCs w:val="18"/>
    </w:rPr>
  </w:style>
  <w:style w:type="character" w:styleId="FollowedHyperlink">
    <w:name w:val="FollowedHyperlink"/>
    <w:basedOn w:val="DefaultParagraphFont"/>
    <w:uiPriority w:val="99"/>
    <w:semiHidden/>
    <w:unhideWhenUsed/>
    <w:rsid w:val="00806BFC"/>
    <w:rPr>
      <w:color w:val="0388C5" w:themeColor="accent5"/>
      <w:u w:val="single"/>
    </w:rPr>
  </w:style>
  <w:style w:type="character" w:customStyle="1" w:styleId="Heading1Char">
    <w:name w:val="Heading 1 Char"/>
    <w:basedOn w:val="DefaultParagraphFont"/>
    <w:link w:val="Heading1"/>
    <w:uiPriority w:val="9"/>
    <w:rsid w:val="00806BFC"/>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806BFC"/>
    <w:rPr>
      <w:rFonts w:ascii="Calibri" w:eastAsia="Helvetica Neue Light" w:hAnsi="Calibri"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806BFC"/>
    <w:rPr>
      <w:rFonts w:ascii="Calibri" w:eastAsia="Helvetica Neue Light" w:hAnsi="Calibri"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806BFC"/>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806BFC"/>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806BFC"/>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806BFC"/>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806BFC"/>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806BFC"/>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itleChar">
    <w:name w:val="Title Char"/>
    <w:basedOn w:val="DefaultParagraphFont"/>
    <w:link w:val="Title"/>
    <w:uiPriority w:val="10"/>
    <w:rsid w:val="00806BFC"/>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paragraph" w:styleId="Caption">
    <w:name w:val="caption"/>
    <w:basedOn w:val="Normal"/>
    <w:next w:val="Normal"/>
    <w:uiPriority w:val="35"/>
    <w:semiHidden/>
    <w:unhideWhenUsed/>
    <w:qFormat/>
    <w:rsid w:val="00806BFC"/>
    <w:pPr>
      <w:spacing w:line="240" w:lineRule="auto"/>
    </w:pPr>
    <w:rPr>
      <w:b/>
      <w:bCs/>
      <w:color w:val="405D78" w:themeColor="accent1"/>
      <w:sz w:val="18"/>
      <w:szCs w:val="18"/>
    </w:rPr>
  </w:style>
  <w:style w:type="character" w:customStyle="1" w:styleId="SubtitleChar">
    <w:name w:val="Subtitle Char"/>
    <w:basedOn w:val="DefaultParagraphFont"/>
    <w:link w:val="Subtitle"/>
    <w:uiPriority w:val="11"/>
    <w:rsid w:val="00806BFC"/>
    <w:rPr>
      <w:rFonts w:ascii="Calibri" w:eastAsia="Calibri" w:hAnsi="Calibri" w:cs="Calibri"/>
      <w:color w:val="405D78"/>
      <w:sz w:val="44"/>
      <w:szCs w:val="44"/>
      <w:lang w:val="en-US"/>
    </w:rPr>
  </w:style>
  <w:style w:type="character" w:styleId="Strong">
    <w:name w:val="Strong"/>
    <w:uiPriority w:val="22"/>
    <w:qFormat/>
    <w:rsid w:val="00806BFC"/>
    <w:rPr>
      <w:rFonts w:ascii="Helvetica Neue Medium" w:hAnsi="Helvetica Neue Medium"/>
    </w:rPr>
  </w:style>
  <w:style w:type="paragraph" w:styleId="Quote">
    <w:name w:val="Quote"/>
    <w:basedOn w:val="Normal"/>
    <w:next w:val="Normal"/>
    <w:link w:val="QuoteChar"/>
    <w:uiPriority w:val="29"/>
    <w:qFormat/>
    <w:rsid w:val="00806BFC"/>
    <w:rPr>
      <w:i/>
      <w:iCs/>
      <w:color w:val="000000" w:themeColor="text1"/>
    </w:rPr>
  </w:style>
  <w:style w:type="character" w:customStyle="1" w:styleId="QuoteChar">
    <w:name w:val="Quote Char"/>
    <w:basedOn w:val="DefaultParagraphFont"/>
    <w:link w:val="Quote"/>
    <w:uiPriority w:val="29"/>
    <w:rsid w:val="00806BFC"/>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806BFC"/>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806BFC"/>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806BFC"/>
    <w:rPr>
      <w:i/>
      <w:iCs/>
      <w:color w:val="808080" w:themeColor="text1" w:themeTint="7F"/>
    </w:rPr>
  </w:style>
  <w:style w:type="character" w:styleId="IntenseEmphasis">
    <w:name w:val="Intense Emphasis"/>
    <w:basedOn w:val="DefaultParagraphFont"/>
    <w:uiPriority w:val="21"/>
    <w:qFormat/>
    <w:rsid w:val="00806BFC"/>
    <w:rPr>
      <w:b/>
      <w:bCs/>
      <w:i/>
      <w:iCs/>
      <w:color w:val="405D78" w:themeColor="accent1"/>
    </w:rPr>
  </w:style>
  <w:style w:type="character" w:styleId="SubtleReference">
    <w:name w:val="Subtle Reference"/>
    <w:basedOn w:val="DefaultParagraphFont"/>
    <w:uiPriority w:val="31"/>
    <w:qFormat/>
    <w:rsid w:val="00806BFC"/>
    <w:rPr>
      <w:smallCaps/>
      <w:color w:val="97467C" w:themeColor="accent2"/>
      <w:u w:val="single"/>
    </w:rPr>
  </w:style>
  <w:style w:type="character" w:styleId="IntenseReference">
    <w:name w:val="Intense Reference"/>
    <w:basedOn w:val="DefaultParagraphFont"/>
    <w:uiPriority w:val="32"/>
    <w:qFormat/>
    <w:rsid w:val="00806BFC"/>
    <w:rPr>
      <w:b/>
      <w:bCs/>
      <w:smallCaps/>
      <w:color w:val="97467C" w:themeColor="accent2"/>
      <w:spacing w:val="5"/>
      <w:u w:val="single"/>
    </w:rPr>
  </w:style>
  <w:style w:type="character" w:styleId="BookTitle">
    <w:name w:val="Book Title"/>
    <w:basedOn w:val="DefaultParagraphFont"/>
    <w:uiPriority w:val="33"/>
    <w:qFormat/>
    <w:rsid w:val="00806BFC"/>
    <w:rPr>
      <w:b/>
      <w:bCs/>
      <w:smallCaps/>
      <w:spacing w:val="5"/>
    </w:rPr>
  </w:style>
  <w:style w:type="paragraph" w:styleId="TOCHeading">
    <w:name w:val="TOC Heading"/>
    <w:basedOn w:val="Heading1"/>
    <w:next w:val="Normal"/>
    <w:uiPriority w:val="39"/>
    <w:unhideWhenUsed/>
    <w:qFormat/>
    <w:rsid w:val="00806BFC"/>
    <w:pPr>
      <w:outlineLvl w:val="9"/>
    </w:pPr>
  </w:style>
  <w:style w:type="paragraph" w:styleId="Revision">
    <w:name w:val="Revision"/>
    <w:hidden/>
    <w:uiPriority w:val="99"/>
    <w:semiHidden/>
    <w:rsid w:val="00806BFC"/>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806BFC"/>
    <w:rPr>
      <w:color w:val="605E5C"/>
      <w:shd w:val="clear" w:color="auto" w:fill="E1DFDD"/>
    </w:rPr>
  </w:style>
  <w:style w:type="paragraph" w:styleId="TOAHeading">
    <w:name w:val="toa heading"/>
    <w:basedOn w:val="Normal"/>
    <w:next w:val="Normal"/>
    <w:uiPriority w:val="99"/>
    <w:unhideWhenUsed/>
    <w:rsid w:val="00806BFC"/>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806BFC"/>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806BFC"/>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806BFC"/>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806BFC"/>
    <w:rPr>
      <w:vertAlign w:val="superscript"/>
    </w:rPr>
  </w:style>
  <w:style w:type="paragraph" w:styleId="CommentText">
    <w:name w:val="annotation text"/>
    <w:basedOn w:val="Normal"/>
    <w:link w:val="CommentTextChar"/>
    <w:uiPriority w:val="99"/>
    <w:unhideWhenUsed/>
    <w:rsid w:val="00806BFC"/>
    <w:pPr>
      <w:spacing w:after="0" w:line="240" w:lineRule="auto"/>
    </w:pPr>
    <w:rPr>
      <w:sz w:val="20"/>
      <w:szCs w:val="20"/>
    </w:rPr>
  </w:style>
  <w:style w:type="character" w:customStyle="1" w:styleId="CommentTextChar">
    <w:name w:val="Comment Text Char"/>
    <w:basedOn w:val="DefaultParagraphFont"/>
    <w:link w:val="CommentText"/>
    <w:uiPriority w:val="99"/>
    <w:rsid w:val="00806BFC"/>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806BFC"/>
    <w:pPr>
      <w:spacing w:after="240"/>
    </w:pPr>
  </w:style>
  <w:style w:type="character" w:customStyle="1" w:styleId="BodyTextChar">
    <w:name w:val="Body Text Char"/>
    <w:basedOn w:val="DefaultParagraphFont"/>
    <w:link w:val="BodyText"/>
    <w:uiPriority w:val="99"/>
    <w:rsid w:val="00806BFC"/>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806B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6BFC"/>
    <w:rPr>
      <w:rFonts w:ascii="Helvetica Neue Light" w:eastAsia="Helvetica Neue Light" w:hAnsi="Helvetica Neue Light" w:cs="Helvetica Neue Light"/>
      <w:lang w:val="en-US"/>
    </w:rPr>
  </w:style>
  <w:style w:type="table" w:styleId="TableGrid">
    <w:name w:val="Table Grid"/>
    <w:basedOn w:val="TableNormal"/>
    <w:uiPriority w:val="39"/>
    <w:rsid w:val="00806BFC"/>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806BFC"/>
    <w:pPr>
      <w:spacing w:after="0"/>
    </w:pPr>
  </w:style>
  <w:style w:type="paragraph" w:styleId="Signature">
    <w:name w:val="Signature"/>
    <w:basedOn w:val="Normal"/>
    <w:link w:val="SignatureChar"/>
    <w:uiPriority w:val="99"/>
    <w:unhideWhenUsed/>
    <w:rsid w:val="00806BFC"/>
    <w:pPr>
      <w:spacing w:after="0" w:line="240" w:lineRule="auto"/>
      <w:ind w:left="4320"/>
    </w:pPr>
  </w:style>
  <w:style w:type="character" w:customStyle="1" w:styleId="SignatureChar">
    <w:name w:val="Signature Char"/>
    <w:basedOn w:val="DefaultParagraphFont"/>
    <w:link w:val="Signature"/>
    <w:uiPriority w:val="99"/>
    <w:rsid w:val="00806BFC"/>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806BFC"/>
    <w:rPr>
      <w:u w:val="dotted"/>
    </w:rPr>
  </w:style>
  <w:style w:type="paragraph" w:styleId="Salutation">
    <w:name w:val="Salutation"/>
    <w:basedOn w:val="Normal"/>
    <w:next w:val="Normal"/>
    <w:link w:val="SalutationChar"/>
    <w:uiPriority w:val="99"/>
    <w:unhideWhenUsed/>
    <w:rsid w:val="00806BFC"/>
  </w:style>
  <w:style w:type="character" w:customStyle="1" w:styleId="SalutationChar">
    <w:name w:val="Salutation Char"/>
    <w:basedOn w:val="DefaultParagraphFont"/>
    <w:link w:val="Salutation"/>
    <w:uiPriority w:val="99"/>
    <w:rsid w:val="00806BFC"/>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806BFC"/>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806BFC"/>
    <w:rPr>
      <w:rFonts w:ascii="Helvetica Neue Light" w:eastAsia="Helvetica Neue Light" w:hAnsi="Helvetica Neue Light" w:cs="Helvetica Neue Light"/>
      <w:lang w:val="en-US"/>
    </w:rPr>
  </w:style>
  <w:style w:type="paragraph" w:styleId="Header">
    <w:name w:val="header"/>
    <w:basedOn w:val="Normal"/>
    <w:link w:val="HeaderChar"/>
    <w:uiPriority w:val="99"/>
    <w:unhideWhenUsed/>
    <w:rsid w:val="00806B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6BFC"/>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806BFC"/>
  </w:style>
  <w:style w:type="character" w:customStyle="1" w:styleId="SubtitleTitle2">
    <w:name w:val="SubtitleTitle 2"/>
    <w:basedOn w:val="DefaultParagraphFont"/>
    <w:uiPriority w:val="1"/>
    <w:qFormat/>
    <w:rsid w:val="00806BFC"/>
    <w:rPr>
      <w:sz w:val="48"/>
      <w:szCs w:val="48"/>
    </w:rPr>
  </w:style>
  <w:style w:type="paragraph" w:styleId="TOC1">
    <w:name w:val="toc 1"/>
    <w:basedOn w:val="Normal"/>
    <w:next w:val="Normal"/>
    <w:autoRedefine/>
    <w:uiPriority w:val="39"/>
    <w:unhideWhenUsed/>
    <w:rsid w:val="00806BFC"/>
    <w:pPr>
      <w:spacing w:before="240" w:after="120"/>
    </w:pPr>
    <w:rPr>
      <w:b/>
      <w:bCs/>
      <w:sz w:val="20"/>
      <w:szCs w:val="20"/>
    </w:rPr>
  </w:style>
  <w:style w:type="paragraph" w:styleId="TOC2">
    <w:name w:val="toc 2"/>
    <w:basedOn w:val="Normal"/>
    <w:next w:val="Normal"/>
    <w:autoRedefine/>
    <w:uiPriority w:val="39"/>
    <w:unhideWhenUsed/>
    <w:rsid w:val="00806BFC"/>
    <w:pPr>
      <w:spacing w:before="120" w:after="0"/>
      <w:ind w:left="220"/>
    </w:pPr>
    <w:rPr>
      <w:i/>
      <w:iCs/>
      <w:sz w:val="20"/>
      <w:szCs w:val="20"/>
    </w:rPr>
  </w:style>
  <w:style w:type="paragraph" w:styleId="TOC3">
    <w:name w:val="toc 3"/>
    <w:basedOn w:val="Normal"/>
    <w:next w:val="Normal"/>
    <w:autoRedefine/>
    <w:uiPriority w:val="39"/>
    <w:unhideWhenUsed/>
    <w:rsid w:val="00806BFC"/>
    <w:pPr>
      <w:spacing w:after="0"/>
      <w:ind w:left="440"/>
    </w:pPr>
    <w:rPr>
      <w:sz w:val="20"/>
      <w:szCs w:val="20"/>
    </w:rPr>
  </w:style>
  <w:style w:type="paragraph" w:styleId="TOC4">
    <w:name w:val="toc 4"/>
    <w:basedOn w:val="Normal"/>
    <w:next w:val="Normal"/>
    <w:autoRedefine/>
    <w:uiPriority w:val="39"/>
    <w:unhideWhenUsed/>
    <w:rsid w:val="00806BFC"/>
    <w:pPr>
      <w:spacing w:after="0"/>
      <w:ind w:left="660"/>
    </w:pPr>
    <w:rPr>
      <w:sz w:val="20"/>
      <w:szCs w:val="20"/>
    </w:rPr>
  </w:style>
  <w:style w:type="paragraph" w:styleId="TOC5">
    <w:name w:val="toc 5"/>
    <w:basedOn w:val="Normal"/>
    <w:next w:val="Normal"/>
    <w:autoRedefine/>
    <w:uiPriority w:val="39"/>
    <w:unhideWhenUsed/>
    <w:rsid w:val="00806BFC"/>
    <w:pPr>
      <w:spacing w:after="0"/>
      <w:ind w:left="880"/>
    </w:pPr>
    <w:rPr>
      <w:sz w:val="20"/>
      <w:szCs w:val="20"/>
    </w:rPr>
  </w:style>
  <w:style w:type="paragraph" w:styleId="TOC6">
    <w:name w:val="toc 6"/>
    <w:basedOn w:val="Normal"/>
    <w:next w:val="Normal"/>
    <w:autoRedefine/>
    <w:uiPriority w:val="39"/>
    <w:unhideWhenUsed/>
    <w:rsid w:val="00806BFC"/>
    <w:pPr>
      <w:spacing w:after="0"/>
      <w:ind w:left="1100"/>
    </w:pPr>
    <w:rPr>
      <w:sz w:val="20"/>
      <w:szCs w:val="20"/>
    </w:rPr>
  </w:style>
  <w:style w:type="paragraph" w:styleId="BodyTextFirstIndent">
    <w:name w:val="Body Text First Indent"/>
    <w:basedOn w:val="BodyText"/>
    <w:link w:val="BodyTextFirstIndentChar"/>
    <w:uiPriority w:val="99"/>
    <w:unhideWhenUsed/>
    <w:rsid w:val="00806BFC"/>
    <w:pPr>
      <w:spacing w:after="200" w:line="276" w:lineRule="auto"/>
      <w:ind w:firstLine="360"/>
    </w:pPr>
  </w:style>
  <w:style w:type="character" w:customStyle="1" w:styleId="BodyTextFirstIndentChar">
    <w:name w:val="Body Text First Indent Char"/>
    <w:basedOn w:val="BodyTextChar"/>
    <w:link w:val="BodyTextFirstIndent"/>
    <w:uiPriority w:val="99"/>
    <w:rsid w:val="00806BFC"/>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806BFC"/>
    <w:pPr>
      <w:spacing w:after="120"/>
      <w:ind w:left="360"/>
    </w:pPr>
  </w:style>
  <w:style w:type="character" w:customStyle="1" w:styleId="BodyTextIndentChar">
    <w:name w:val="Body Text Indent Char"/>
    <w:basedOn w:val="DefaultParagraphFont"/>
    <w:link w:val="BodyTextIndent"/>
    <w:uiPriority w:val="99"/>
    <w:rsid w:val="00806BFC"/>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806BFC"/>
    <w:pPr>
      <w:spacing w:after="200"/>
      <w:ind w:firstLine="360"/>
    </w:pPr>
  </w:style>
  <w:style w:type="character" w:customStyle="1" w:styleId="BodyTextFirstIndent2Char">
    <w:name w:val="Body Text First Indent 2 Char"/>
    <w:basedOn w:val="BodyTextIndentChar"/>
    <w:link w:val="BodyTextFirstIndent2"/>
    <w:uiPriority w:val="99"/>
    <w:rsid w:val="00806BFC"/>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806BFC"/>
    <w:pPr>
      <w:spacing w:after="120" w:line="480" w:lineRule="auto"/>
      <w:ind w:left="360"/>
    </w:pPr>
  </w:style>
  <w:style w:type="character" w:customStyle="1" w:styleId="BodyTextIndent2Char">
    <w:name w:val="Body Text Indent 2 Char"/>
    <w:basedOn w:val="DefaultParagraphFont"/>
    <w:link w:val="BodyTextIndent2"/>
    <w:uiPriority w:val="99"/>
    <w:rsid w:val="00806BFC"/>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806BFC"/>
    <w:pPr>
      <w:spacing w:after="120"/>
    </w:pPr>
    <w:rPr>
      <w:sz w:val="18"/>
      <w:szCs w:val="16"/>
    </w:rPr>
  </w:style>
  <w:style w:type="character" w:customStyle="1" w:styleId="BodyText3Char">
    <w:name w:val="Body Text 3 Char"/>
    <w:basedOn w:val="DefaultParagraphFont"/>
    <w:link w:val="BodyText3"/>
    <w:uiPriority w:val="99"/>
    <w:rsid w:val="00806BFC"/>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806BFC"/>
    <w:pPr>
      <w:spacing w:after="120"/>
      <w:ind w:left="360"/>
    </w:pPr>
    <w:rPr>
      <w:sz w:val="18"/>
      <w:szCs w:val="16"/>
    </w:rPr>
  </w:style>
  <w:style w:type="character" w:customStyle="1" w:styleId="BodyTextIndent3Char">
    <w:name w:val="Body Text Indent 3 Char"/>
    <w:basedOn w:val="DefaultParagraphFont"/>
    <w:link w:val="BodyTextIndent3"/>
    <w:uiPriority w:val="99"/>
    <w:rsid w:val="00806BFC"/>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806BFC"/>
    <w:pPr>
      <w:spacing w:after="0" w:line="240" w:lineRule="auto"/>
      <w:ind w:left="4320"/>
    </w:pPr>
  </w:style>
  <w:style w:type="character" w:customStyle="1" w:styleId="ClosingChar">
    <w:name w:val="Closing Char"/>
    <w:basedOn w:val="DefaultParagraphFont"/>
    <w:link w:val="Closing"/>
    <w:uiPriority w:val="99"/>
    <w:rsid w:val="00806BFC"/>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806BFC"/>
    <w:rPr>
      <w:sz w:val="16"/>
      <w:szCs w:val="16"/>
    </w:rPr>
  </w:style>
  <w:style w:type="paragraph" w:styleId="TOC7">
    <w:name w:val="toc 7"/>
    <w:basedOn w:val="Normal"/>
    <w:next w:val="Normal"/>
    <w:autoRedefine/>
    <w:uiPriority w:val="39"/>
    <w:unhideWhenUsed/>
    <w:rsid w:val="00806BFC"/>
    <w:pPr>
      <w:spacing w:after="0"/>
      <w:ind w:left="1320"/>
    </w:pPr>
    <w:rPr>
      <w:sz w:val="20"/>
      <w:szCs w:val="20"/>
    </w:rPr>
  </w:style>
  <w:style w:type="paragraph" w:styleId="TOC8">
    <w:name w:val="toc 8"/>
    <w:basedOn w:val="Normal"/>
    <w:next w:val="Normal"/>
    <w:autoRedefine/>
    <w:uiPriority w:val="39"/>
    <w:unhideWhenUsed/>
    <w:rsid w:val="00806BFC"/>
    <w:pPr>
      <w:spacing w:after="0"/>
      <w:ind w:left="1540"/>
    </w:pPr>
    <w:rPr>
      <w:sz w:val="20"/>
      <w:szCs w:val="20"/>
    </w:rPr>
  </w:style>
  <w:style w:type="paragraph" w:styleId="TOC9">
    <w:name w:val="toc 9"/>
    <w:basedOn w:val="Normal"/>
    <w:next w:val="Normal"/>
    <w:autoRedefine/>
    <w:uiPriority w:val="39"/>
    <w:unhideWhenUsed/>
    <w:rsid w:val="00806BFC"/>
    <w:pPr>
      <w:spacing w:after="0"/>
      <w:ind w:left="1760"/>
    </w:pPr>
    <w:rPr>
      <w:sz w:val="20"/>
      <w:szCs w:val="20"/>
    </w:rPr>
  </w:style>
  <w:style w:type="paragraph" w:styleId="BlockText">
    <w:name w:val="Block Text"/>
    <w:basedOn w:val="Normal"/>
    <w:uiPriority w:val="99"/>
    <w:unhideWhenUsed/>
    <w:qFormat/>
    <w:rsid w:val="00806BFC"/>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806BFC"/>
    <w:pPr>
      <w:numPr>
        <w:numId w:val="2"/>
      </w:numPr>
      <w:spacing w:after="120"/>
    </w:pPr>
  </w:style>
  <w:style w:type="paragraph" w:styleId="ListBullet2">
    <w:name w:val="List Bullet 2"/>
    <w:basedOn w:val="Normal"/>
    <w:uiPriority w:val="99"/>
    <w:unhideWhenUsed/>
    <w:rsid w:val="00806BFC"/>
    <w:pPr>
      <w:tabs>
        <w:tab w:val="num" w:pos="720"/>
      </w:tabs>
      <w:spacing w:after="120"/>
      <w:ind w:left="720" w:hanging="720"/>
    </w:pPr>
  </w:style>
  <w:style w:type="character" w:styleId="LineNumber">
    <w:name w:val="line number"/>
    <w:basedOn w:val="DefaultParagraphFont"/>
    <w:uiPriority w:val="99"/>
    <w:unhideWhenUsed/>
    <w:rsid w:val="00806BFC"/>
  </w:style>
  <w:style w:type="paragraph" w:customStyle="1" w:styleId="NumberedList">
    <w:name w:val="Numbered List"/>
    <w:basedOn w:val="ListBullet2"/>
    <w:qFormat/>
    <w:rsid w:val="00806BFC"/>
  </w:style>
  <w:style w:type="paragraph" w:styleId="ListNumber">
    <w:name w:val="List Number"/>
    <w:basedOn w:val="Normal"/>
    <w:uiPriority w:val="99"/>
    <w:unhideWhenUsed/>
    <w:rsid w:val="00806BFC"/>
    <w:pPr>
      <w:tabs>
        <w:tab w:val="num" w:pos="720"/>
      </w:tabs>
      <w:spacing w:after="120"/>
      <w:ind w:left="720" w:hanging="720"/>
    </w:pPr>
  </w:style>
  <w:style w:type="paragraph" w:styleId="ListNumber2">
    <w:name w:val="List Number 2"/>
    <w:basedOn w:val="Normal"/>
    <w:uiPriority w:val="99"/>
    <w:unhideWhenUsed/>
    <w:rsid w:val="00806BFC"/>
    <w:pPr>
      <w:tabs>
        <w:tab w:val="num" w:pos="720"/>
      </w:tabs>
      <w:spacing w:after="120"/>
      <w:ind w:left="720" w:hanging="720"/>
    </w:pPr>
  </w:style>
  <w:style w:type="paragraph" w:styleId="ListNumber3">
    <w:name w:val="List Number 3"/>
    <w:basedOn w:val="Normal"/>
    <w:uiPriority w:val="99"/>
    <w:unhideWhenUsed/>
    <w:rsid w:val="00806BFC"/>
    <w:pPr>
      <w:tabs>
        <w:tab w:val="num" w:pos="720"/>
      </w:tabs>
      <w:spacing w:after="120"/>
      <w:ind w:left="720" w:hanging="720"/>
    </w:pPr>
  </w:style>
  <w:style w:type="paragraph" w:styleId="ListNumber4">
    <w:name w:val="List Number 4"/>
    <w:basedOn w:val="Normal"/>
    <w:uiPriority w:val="99"/>
    <w:unhideWhenUsed/>
    <w:rsid w:val="00806BFC"/>
    <w:pPr>
      <w:tabs>
        <w:tab w:val="num" w:pos="720"/>
      </w:tabs>
      <w:spacing w:after="120"/>
      <w:ind w:left="720" w:hanging="720"/>
    </w:pPr>
  </w:style>
  <w:style w:type="paragraph" w:styleId="ListNumber5">
    <w:name w:val="List Number 5"/>
    <w:basedOn w:val="Normal"/>
    <w:uiPriority w:val="99"/>
    <w:unhideWhenUsed/>
    <w:rsid w:val="00806BFC"/>
    <w:pPr>
      <w:tabs>
        <w:tab w:val="num" w:pos="720"/>
      </w:tabs>
      <w:spacing w:after="120"/>
      <w:ind w:left="720" w:hanging="720"/>
    </w:pPr>
  </w:style>
  <w:style w:type="table" w:styleId="GridTable1Light-Accent1">
    <w:name w:val="Grid Table 1 Light Accent 1"/>
    <w:basedOn w:val="TableNormal"/>
    <w:uiPriority w:val="46"/>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806BFC"/>
    <w:pPr>
      <w:tabs>
        <w:tab w:val="num" w:pos="720"/>
      </w:tabs>
      <w:spacing w:after="120"/>
      <w:ind w:left="720" w:hanging="720"/>
    </w:pPr>
  </w:style>
  <w:style w:type="paragraph" w:styleId="ListBullet5">
    <w:name w:val="List Bullet 5"/>
    <w:basedOn w:val="Normal"/>
    <w:uiPriority w:val="99"/>
    <w:unhideWhenUsed/>
    <w:rsid w:val="00806BFC"/>
    <w:pPr>
      <w:tabs>
        <w:tab w:val="num" w:pos="720"/>
      </w:tabs>
      <w:spacing w:after="120"/>
      <w:ind w:left="720" w:hanging="720"/>
    </w:pPr>
  </w:style>
  <w:style w:type="paragraph" w:styleId="ListBullet4">
    <w:name w:val="List Bullet 4"/>
    <w:basedOn w:val="Normal"/>
    <w:uiPriority w:val="99"/>
    <w:unhideWhenUsed/>
    <w:rsid w:val="00806BFC"/>
    <w:pPr>
      <w:tabs>
        <w:tab w:val="num" w:pos="720"/>
      </w:tabs>
      <w:spacing w:after="120"/>
      <w:ind w:left="720" w:hanging="720"/>
    </w:pPr>
  </w:style>
  <w:style w:type="paragraph" w:customStyle="1" w:styleId="Heading2WithNumbers">
    <w:name w:val="Heading 2 With Numbers"/>
    <w:basedOn w:val="ListNumber2"/>
    <w:qFormat/>
    <w:rsid w:val="00806BFC"/>
    <w:pPr>
      <w:spacing w:line="240" w:lineRule="auto"/>
    </w:pPr>
    <w:rPr>
      <w:b/>
      <w:color w:val="405D78" w:themeColor="accent1"/>
      <w:sz w:val="28"/>
      <w:szCs w:val="28"/>
    </w:rPr>
  </w:style>
  <w:style w:type="table" w:styleId="GridTable4-Accent4">
    <w:name w:val="Grid Table 4 Accent 4"/>
    <w:basedOn w:val="TableNormal"/>
    <w:uiPriority w:val="49"/>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806BFC"/>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806BFC"/>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06BFC"/>
    <w:pPr>
      <w:tabs>
        <w:tab w:val="num" w:pos="720"/>
      </w:tabs>
      <w:ind w:left="720" w:hanging="720"/>
    </w:pPr>
  </w:style>
  <w:style w:type="paragraph" w:styleId="List">
    <w:name w:val="List"/>
    <w:basedOn w:val="Normal"/>
    <w:uiPriority w:val="99"/>
    <w:unhideWhenUsed/>
    <w:rsid w:val="00806BFC"/>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 w:type="table" w:customStyle="1" w:styleId="a">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2e2yXnltHe5pemkwBafz339KeQ==">CgMxLjA4AHIhMXhTQWRDdU5qS1NCZ3FjRWtSSktHQzRmOFZYQXRQc2tW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1388</Words>
  <Characters>7298</Characters>
  <Application>Microsoft Office Word</Application>
  <DocSecurity>0</DocSecurity>
  <Lines>155</Lines>
  <Paragraphs>76</Paragraphs>
  <ScaleCrop>false</ScaleCrop>
  <Company/>
  <LinksUpToDate>false</LinksUpToDate>
  <CharactersWithSpaces>8625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Dale Potter</dc:creator>
  <cp:lastModifiedBy>Kyra Loat</cp:lastModifiedBy>
  <cp:revision>3</cp:revision>
  <dcterms:created xsi:type="dcterms:W3CDTF">2025-08-26T09:58:00Z</dcterms:created>
  <dcterms:modified xsi:type="dcterms:W3CDTF">2026-01-14T19:07:00Z</dcterms:modified>
</cp:coreProperties>
</file>